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6DAF" w14:textId="77777777" w:rsidR="00263882" w:rsidRDefault="00263882" w:rsidP="00263882">
      <w:pPr>
        <w:rPr>
          <w:b/>
          <w:bCs/>
        </w:rPr>
      </w:pPr>
      <w:bookmarkStart w:id="0" w:name="_GoBack"/>
      <w:bookmarkEnd w:id="0"/>
      <w:r>
        <w:rPr>
          <w:b/>
          <w:bCs/>
        </w:rPr>
        <w:t>Other Support (JIT and annual RPPRs)</w:t>
      </w:r>
    </w:p>
    <w:p w14:paraId="1F699856" w14:textId="2F7B0ADB" w:rsidR="00263882" w:rsidRDefault="00263882" w:rsidP="00263882">
      <w:pPr>
        <w:rPr>
          <w:b/>
          <w:bCs/>
        </w:rPr>
      </w:pPr>
    </w:p>
    <w:p w14:paraId="1E5C2E9B" w14:textId="0A24FE38" w:rsidR="00263882" w:rsidRDefault="00263882" w:rsidP="00263882">
      <w:pPr>
        <w:rPr>
          <w:b/>
          <w:bCs/>
        </w:rPr>
      </w:pPr>
      <w:r>
        <w:rPr>
          <w:b/>
          <w:bCs/>
        </w:rPr>
        <w:t>Recent Changes</w:t>
      </w:r>
      <w:r w:rsidR="00B025DC">
        <w:rPr>
          <w:b/>
          <w:bCs/>
        </w:rPr>
        <w:t xml:space="preserve"> (May 2021)</w:t>
      </w:r>
      <w:r>
        <w:rPr>
          <w:b/>
          <w:bCs/>
        </w:rPr>
        <w:t>:</w:t>
      </w:r>
    </w:p>
    <w:p w14:paraId="26F4DDA5" w14:textId="77777777" w:rsidR="00263882" w:rsidRDefault="00263882" w:rsidP="00263882">
      <w:pPr>
        <w:rPr>
          <w:b/>
          <w:bCs/>
        </w:rPr>
      </w:pPr>
    </w:p>
    <w:p w14:paraId="3105D2D7" w14:textId="77777777" w:rsidR="00263882" w:rsidRDefault="00263882" w:rsidP="00263882">
      <w:pPr>
        <w:pStyle w:val="ListParagraph"/>
        <w:numPr>
          <w:ilvl w:val="0"/>
          <w:numId w:val="1"/>
        </w:numPr>
      </w:pPr>
      <w:r>
        <w:t>List total dollar amount per year instead of current Direct Costs.</w:t>
      </w:r>
    </w:p>
    <w:p w14:paraId="47765367" w14:textId="6A9EDC73" w:rsidR="00263882" w:rsidRDefault="00263882" w:rsidP="00263882">
      <w:pPr>
        <w:pStyle w:val="ListParagraph"/>
        <w:numPr>
          <w:ilvl w:val="0"/>
          <w:numId w:val="1"/>
        </w:numPr>
      </w:pPr>
      <w:r>
        <w:t>Include projects that ended the last three years.</w:t>
      </w:r>
    </w:p>
    <w:p w14:paraId="6B7C0F8D" w14:textId="458DC0AF" w:rsidR="00D44D56" w:rsidRDefault="00D44D56" w:rsidP="00263882">
      <w:pPr>
        <w:pStyle w:val="ListParagraph"/>
        <w:numPr>
          <w:ilvl w:val="0"/>
          <w:numId w:val="1"/>
        </w:numPr>
      </w:pPr>
      <w:r>
        <w:t>Devoted effort must be measured using “person months”</w:t>
      </w:r>
    </w:p>
    <w:p w14:paraId="216A7355" w14:textId="77777777" w:rsidR="00263882" w:rsidRDefault="00263882" w:rsidP="00263882">
      <w:pPr>
        <w:pStyle w:val="ListParagraph"/>
        <w:numPr>
          <w:ilvl w:val="0"/>
          <w:numId w:val="1"/>
        </w:numPr>
      </w:pPr>
      <w:r>
        <w:t>New template, which includes the PI signature attesting to accuracy and effort for each year.</w:t>
      </w:r>
    </w:p>
    <w:p w14:paraId="0BD74059" w14:textId="77777777" w:rsidR="00263882" w:rsidRDefault="00263882" w:rsidP="00263882">
      <w:pPr>
        <w:pStyle w:val="ListParagraph"/>
        <w:numPr>
          <w:ilvl w:val="0"/>
          <w:numId w:val="1"/>
        </w:numPr>
      </w:pPr>
      <w:r>
        <w:t>Outside consulting activities are reported if conducting research as a part of the consulting services.</w:t>
      </w:r>
    </w:p>
    <w:p w14:paraId="5BCC6036" w14:textId="77777777" w:rsidR="00263882" w:rsidRDefault="00263882" w:rsidP="00263882">
      <w:pPr>
        <w:pStyle w:val="ListParagraph"/>
        <w:numPr>
          <w:ilvl w:val="0"/>
          <w:numId w:val="1"/>
        </w:numPr>
      </w:pPr>
      <w:r>
        <w:t>New section on In-Kind contributions,</w:t>
      </w:r>
      <w:r w:rsidRPr="00217D6E">
        <w:t xml:space="preserve"> e.g., office/laboratory space, equipment, supplies, or employees or students supported by an outside source.</w:t>
      </w:r>
      <w:r>
        <w:t xml:space="preserve"> Estimate value, effort not needed if not applicable.</w:t>
      </w:r>
    </w:p>
    <w:p w14:paraId="4A93D534" w14:textId="77777777" w:rsidR="00263882" w:rsidRDefault="00263882" w:rsidP="00263882">
      <w:pPr>
        <w:pStyle w:val="ListParagraph"/>
        <w:numPr>
          <w:ilvl w:val="0"/>
          <w:numId w:val="1"/>
        </w:numPr>
      </w:pPr>
      <w:r>
        <w:t xml:space="preserve">Require </w:t>
      </w:r>
      <w:r w:rsidRPr="00217D6E">
        <w:t>supporting documentation, which includes copies of contracts, grants or any other agreement specific to senior/key personnel foreign appointments and/or employment with a foreign institution for all foreign activities and resources that are reported in Other Support</w:t>
      </w:r>
      <w:r>
        <w:t>.</w:t>
      </w:r>
    </w:p>
    <w:p w14:paraId="246700B6" w14:textId="3F74563A" w:rsidR="00263882" w:rsidRDefault="00263882" w:rsidP="00263882">
      <w:pPr>
        <w:pStyle w:val="ListParagraph"/>
        <w:numPr>
          <w:ilvl w:val="0"/>
          <w:numId w:val="1"/>
        </w:numPr>
      </w:pPr>
      <w:r>
        <w:t>Required Sept. 1</w:t>
      </w:r>
      <w:r w:rsidRPr="00217D6E">
        <w:rPr>
          <w:vertAlign w:val="superscript"/>
        </w:rPr>
        <w:t>st</w:t>
      </w:r>
      <w:r>
        <w:t xml:space="preserve"> by </w:t>
      </w:r>
      <w:r>
        <w:t>Northwestern Sponsored Research</w:t>
      </w:r>
    </w:p>
    <w:p w14:paraId="6D1CCDDA" w14:textId="7F468131" w:rsidR="00263882" w:rsidRDefault="00263882" w:rsidP="00263882"/>
    <w:p w14:paraId="30846092" w14:textId="182E8324" w:rsidR="00263882" w:rsidRPr="00263882" w:rsidRDefault="00B025DC" w:rsidP="00263882">
      <w:r>
        <w:rPr>
          <w:b/>
          <w:bCs/>
        </w:rPr>
        <w:t>NIH Reminders:</w:t>
      </w:r>
    </w:p>
    <w:p w14:paraId="617989B8" w14:textId="2D7D6D6F" w:rsidR="00263882" w:rsidRPr="00263882" w:rsidRDefault="00263882" w:rsidP="00263882">
      <w:r w:rsidRPr="00263882">
        <w:t xml:space="preserve">Other Support </w:t>
      </w:r>
      <w:r w:rsidRPr="00263882">
        <w:rPr>
          <w:u w:val="single"/>
        </w:rPr>
        <w:t>includes</w:t>
      </w:r>
      <w:r w:rsidRPr="00263882">
        <w:t xml:space="preserve"> </w:t>
      </w:r>
      <w:r w:rsidRPr="00263882">
        <w:rPr>
          <w:i/>
          <w:iCs/>
        </w:rPr>
        <w:t>all</w:t>
      </w:r>
      <w:r w:rsidRPr="00263882">
        <w:t xml:space="preserve"> resources made available to a researcher in support of and/or related to </w:t>
      </w:r>
      <w:proofErr w:type="gramStart"/>
      <w:r w:rsidRPr="00263882">
        <w:t>all of</w:t>
      </w:r>
      <w:proofErr w:type="gramEnd"/>
      <w:r w:rsidRPr="00263882">
        <w:t xml:space="preserve"> their research endeavors, regardless of whether or not they have monetary value and regardless of whether they are based at the institution the researcher identifies for the current grant. This includes but is not limited to:</w:t>
      </w:r>
      <w:r w:rsidR="00B025DC">
        <w:br/>
      </w:r>
    </w:p>
    <w:p w14:paraId="6C1BFBB6" w14:textId="48DA7F3A" w:rsidR="00D44D56" w:rsidRDefault="00263882" w:rsidP="00D44D56">
      <w:pPr>
        <w:numPr>
          <w:ilvl w:val="0"/>
          <w:numId w:val="3"/>
        </w:numPr>
      </w:pPr>
      <w:r w:rsidRPr="00263882">
        <w:rPr>
          <w:u w:val="single"/>
        </w:rPr>
        <w:t>Resources and/or financial support from all foreign and domestic entities, that are available to the researcher</w:t>
      </w:r>
      <w:r w:rsidRPr="00263882">
        <w:t xml:space="preserve">. </w:t>
      </w:r>
      <w:r w:rsidR="00D44D56" w:rsidRPr="00263882">
        <w:t xml:space="preserve">Supporting documentation, which includes copies of contracts, grants or any other agreement specific to senior/key personnel foreign appointments and/or employment with a foreign institution for all foreign activities and resources that are reported in Other Support. If the contracts, </w:t>
      </w:r>
      <w:proofErr w:type="gramStart"/>
      <w:r w:rsidR="00D44D56" w:rsidRPr="00263882">
        <w:t>grants</w:t>
      </w:r>
      <w:proofErr w:type="gramEnd"/>
      <w:r w:rsidR="00D44D56" w:rsidRPr="00263882">
        <w:t xml:space="preserve"> or other agreements are not in English, recipients must provide translated copies.</w:t>
      </w:r>
      <w:r w:rsidR="00D44D56">
        <w:br/>
      </w:r>
    </w:p>
    <w:p w14:paraId="0EA53907" w14:textId="7443DDBF" w:rsidR="00263882" w:rsidRPr="00263882" w:rsidRDefault="00D44D56" w:rsidP="00263882">
      <w:pPr>
        <w:numPr>
          <w:ilvl w:val="0"/>
          <w:numId w:val="2"/>
        </w:numPr>
      </w:pPr>
      <w:r>
        <w:t>F</w:t>
      </w:r>
      <w:r w:rsidR="00263882" w:rsidRPr="00263882">
        <w:t>inancial support for laboratory personnel, and provision of high-value materials that are not freely available (e.g., biologics, chemical, model systems, technology, etc.). Institutional resources, such as core facilities or shared equipment that are made broadly available, should not be included in Other Support, but rather listed under Facilities and Other Resources.</w:t>
      </w:r>
      <w:r w:rsidR="00B025DC">
        <w:br/>
      </w:r>
    </w:p>
    <w:p w14:paraId="73898B92" w14:textId="3052AE54" w:rsidR="00263882" w:rsidRPr="00263882" w:rsidRDefault="00263882" w:rsidP="00263882">
      <w:pPr>
        <w:numPr>
          <w:ilvl w:val="0"/>
          <w:numId w:val="2"/>
        </w:numPr>
      </w:pPr>
      <w:r w:rsidRPr="00263882">
        <w:t>Consulting agreements, when the PD/PI or other senior/key personnel will be conducting research as part of the consulting activities. Non-research consulting activities are not Other Support.</w:t>
      </w:r>
      <w:r w:rsidR="00B025DC">
        <w:br/>
      </w:r>
    </w:p>
    <w:p w14:paraId="7EBC4B8F" w14:textId="089461C4" w:rsidR="00263882" w:rsidRDefault="00263882" w:rsidP="00263882">
      <w:pPr>
        <w:numPr>
          <w:ilvl w:val="0"/>
          <w:numId w:val="2"/>
        </w:numPr>
      </w:pPr>
      <w:r w:rsidRPr="00263882">
        <w:rPr>
          <w:u w:val="single"/>
        </w:rPr>
        <w:t>In-kind contributions</w:t>
      </w:r>
      <w:r w:rsidRPr="00263882">
        <w:t xml:space="preserve">, </w:t>
      </w:r>
      <w:proofErr w:type="gramStart"/>
      <w:r w:rsidRPr="00263882">
        <w:t>e.g.</w:t>
      </w:r>
      <w:proofErr w:type="gramEnd"/>
      <w:r w:rsidRPr="00263882">
        <w:t xml:space="preserve"> office/laboratory space, equipment, supplies, or employees or students supported by an outside source. If the time commitment or dollar value of the in-kind contribution is not readily ascertainable, the recipient must provide reasonable estimates.</w:t>
      </w:r>
    </w:p>
    <w:p w14:paraId="18804E84" w14:textId="77777777" w:rsidR="00D44D56" w:rsidRDefault="00D44D56" w:rsidP="00D44D56">
      <w:pPr>
        <w:contextualSpacing/>
        <w:rPr>
          <w:b/>
          <w:bCs/>
        </w:rPr>
      </w:pPr>
    </w:p>
    <w:p w14:paraId="616BFE88" w14:textId="01E3BAC2" w:rsidR="00D44D56" w:rsidRDefault="00D44D56" w:rsidP="00D44D56">
      <w:pPr>
        <w:contextualSpacing/>
      </w:pPr>
      <w:r w:rsidRPr="00175C64">
        <w:rPr>
          <w:b/>
          <w:bCs/>
        </w:rPr>
        <w:t xml:space="preserve">In-Kind Contributions: </w:t>
      </w:r>
      <w:r w:rsidRPr="00175C64">
        <w:rPr>
          <w:b/>
          <w:bCs/>
        </w:rPr>
        <w:br/>
      </w:r>
      <w:r>
        <w:t xml:space="preserve">Other Support also includes in-kind contributions (such as office/laboratory space, equipment, </w:t>
      </w:r>
      <w:r>
        <w:lastRenderedPageBreak/>
        <w:t xml:space="preserve">supplies, or employees </w:t>
      </w:r>
      <w:proofErr w:type="gramStart"/>
      <w:r>
        <w:t>or  students</w:t>
      </w:r>
      <w:proofErr w:type="gramEnd"/>
      <w:r>
        <w:t xml:space="preserve"> supported by an outside source). In-kind contributions do not constitute a ‘recipient share’ of the expenditures, and do not need to be included in the SF-425 FFR. </w:t>
      </w:r>
    </w:p>
    <w:p w14:paraId="0710A511" w14:textId="77777777" w:rsidR="00D44D56" w:rsidRDefault="00D44D56" w:rsidP="00D44D56">
      <w:pPr>
        <w:contextualSpacing/>
      </w:pPr>
    </w:p>
    <w:p w14:paraId="249921BE" w14:textId="77777777" w:rsidR="00D44D56" w:rsidRDefault="00D44D56" w:rsidP="00D44D56">
      <w:pPr>
        <w:pStyle w:val="ListParagraph"/>
        <w:numPr>
          <w:ilvl w:val="0"/>
          <w:numId w:val="2"/>
        </w:numPr>
        <w:spacing w:line="259" w:lineRule="auto"/>
      </w:pPr>
      <w:r>
        <w:t xml:space="preserve">If in-kind contributions </w:t>
      </w:r>
      <w:r w:rsidRPr="00CA4EF6">
        <w:rPr>
          <w:b/>
          <w:bCs/>
        </w:rPr>
        <w:t xml:space="preserve">are intended for use on the project being proposed </w:t>
      </w:r>
      <w:r>
        <w:t xml:space="preserve">to NIH in this application, the information must be included as part of the Facilities and Other Resources or Equipment section of the application and need not be replicated on this form.  </w:t>
      </w:r>
    </w:p>
    <w:p w14:paraId="21B04214" w14:textId="77777777" w:rsidR="00D44D56" w:rsidRDefault="00D44D56" w:rsidP="00D44D56">
      <w:pPr>
        <w:pStyle w:val="ListParagraph"/>
        <w:numPr>
          <w:ilvl w:val="0"/>
          <w:numId w:val="2"/>
        </w:numPr>
        <w:spacing w:line="259" w:lineRule="auto"/>
      </w:pPr>
      <w:r>
        <w:t xml:space="preserve">In-kind contributions </w:t>
      </w:r>
      <w:r w:rsidRPr="00CA4EF6">
        <w:rPr>
          <w:b/>
          <w:bCs/>
        </w:rPr>
        <w:t>not intended for use on the project/proposal being proposed</w:t>
      </w:r>
      <w:r>
        <w:t xml:space="preserve"> in this application must be reported below. If the time commitment or dollar value is not readily ascertainable, reasonable estimates should be provided. </w:t>
      </w:r>
    </w:p>
    <w:p w14:paraId="3F775E5D" w14:textId="77777777" w:rsidR="00D44D56" w:rsidRPr="00263882" w:rsidRDefault="00D44D56" w:rsidP="00D44D56">
      <w:pPr>
        <w:ind w:left="1440"/>
      </w:pPr>
    </w:p>
    <w:p w14:paraId="18AB9FF8" w14:textId="6EF69B1D" w:rsidR="00263882" w:rsidRDefault="00B025DC" w:rsidP="00263882">
      <w:r>
        <w:br/>
      </w:r>
      <w:r w:rsidR="00263882" w:rsidRPr="00263882">
        <w:t xml:space="preserve">Other Support </w:t>
      </w:r>
      <w:r w:rsidR="00263882" w:rsidRPr="00263882">
        <w:rPr>
          <w:u w:val="single"/>
        </w:rPr>
        <w:t>does not include</w:t>
      </w:r>
      <w:r w:rsidR="00263882" w:rsidRPr="00263882">
        <w:t xml:space="preserve"> training awards, prizes, or gifts. Gifts are resources provided where there is no expectation of anything (</w:t>
      </w:r>
      <w:proofErr w:type="gramStart"/>
      <w:r w:rsidR="00263882" w:rsidRPr="00263882">
        <w:t>e.g.</w:t>
      </w:r>
      <w:proofErr w:type="gramEnd"/>
      <w:r w:rsidR="00263882" w:rsidRPr="00263882">
        <w:t xml:space="preserve"> time, services, specific research activities, money, etc.) in return. An item or service given with the expectation of an associated time commitment is not a gift and is instead an in-kind contribution and must be reported as Other Support.</w:t>
      </w:r>
    </w:p>
    <w:p w14:paraId="05A99622" w14:textId="77777777" w:rsidR="00B025DC" w:rsidRPr="00263882" w:rsidRDefault="00B025DC" w:rsidP="00263882"/>
    <w:p w14:paraId="1C0CF3A3" w14:textId="77777777" w:rsidR="00D44D56" w:rsidRDefault="00D44D56" w:rsidP="00D44D56">
      <w:pPr>
        <w:contextualSpacing/>
        <w:rPr>
          <w:iCs/>
        </w:rPr>
      </w:pPr>
      <w:r w:rsidRPr="00C77F33">
        <w:rPr>
          <w:iCs/>
          <w:u w:val="single"/>
        </w:rPr>
        <w:t>Overlap</w:t>
      </w:r>
      <w:r>
        <w:rPr>
          <w:iCs/>
          <w:u w:val="single"/>
        </w:rPr>
        <w:t xml:space="preserve"> Section</w:t>
      </w:r>
      <w:r w:rsidRPr="00C77F33">
        <w:rPr>
          <w:iCs/>
          <w:u w:val="single"/>
        </w:rPr>
        <w:t>:</w:t>
      </w:r>
      <w:r w:rsidRPr="00FD7816">
        <w:rPr>
          <w:iCs/>
        </w:rPr>
        <w:t xml:space="preserve"> </w:t>
      </w:r>
    </w:p>
    <w:p w14:paraId="37EB84B0" w14:textId="77777777" w:rsidR="00D44D56" w:rsidRDefault="00D44D56" w:rsidP="00D44D56">
      <w:pPr>
        <w:contextualSpacing/>
        <w:rPr>
          <w:iCs/>
        </w:rPr>
      </w:pPr>
      <w:r w:rsidRPr="00FD7816">
        <w:rPr>
          <w:iCs/>
        </w:rPr>
        <w:t xml:space="preserve">After listing all support, summarize for </w:t>
      </w:r>
      <w:proofErr w:type="gramStart"/>
      <w:r w:rsidRPr="00FD7816">
        <w:rPr>
          <w:iCs/>
        </w:rPr>
        <w:t>each individual</w:t>
      </w:r>
      <w:proofErr w:type="gramEnd"/>
      <w:r w:rsidRPr="00FD7816">
        <w:rPr>
          <w:iCs/>
        </w:rPr>
        <w:t xml:space="preserve"> any potential overlap with the active or pending projects and activities, other positions, affiliations, and resources and this application in terms of the science, budget, or an individual’s committed effort.</w:t>
      </w:r>
      <w:r>
        <w:rPr>
          <w:iCs/>
        </w:rPr>
        <w:t xml:space="preserve"> For further information on Overlap see the </w:t>
      </w:r>
      <w:hyperlink r:id="rId5" w:history="1">
        <w:r>
          <w:rPr>
            <w:rStyle w:val="Hyperlink"/>
            <w:iCs/>
          </w:rPr>
          <w:t>NIH Grants Policy Statement, Section 1.1.2: Definition of Terms</w:t>
        </w:r>
      </w:hyperlink>
    </w:p>
    <w:p w14:paraId="0B2499AE" w14:textId="0FB7B789" w:rsidR="00263882" w:rsidRDefault="00263882" w:rsidP="00263882"/>
    <w:p w14:paraId="1608C888" w14:textId="77777777" w:rsidR="00D44D56" w:rsidRPr="00263882" w:rsidRDefault="00D44D56" w:rsidP="00263882"/>
    <w:p w14:paraId="16285E9D" w14:textId="253F94F7" w:rsidR="00263882" w:rsidRPr="00263882" w:rsidRDefault="00263882" w:rsidP="00263882">
      <w:r w:rsidRPr="00263882">
        <w:t>Recipients are reminded to establish and maintain effective internal controls (</w:t>
      </w:r>
      <w:proofErr w:type="gramStart"/>
      <w:r w:rsidRPr="00263882">
        <w:t>e.g.</w:t>
      </w:r>
      <w:proofErr w:type="gramEnd"/>
      <w:r w:rsidRPr="00263882">
        <w:t xml:space="preserve"> policies and procedures) to ensure that individuals designated in applications as senior/key personnel </w:t>
      </w:r>
      <w:r w:rsidRPr="00263882">
        <w:rPr>
          <w:u w:val="single"/>
        </w:rPr>
        <w:t>fully disclose all Other Support information to their institution as soon as soon as it becomes known.</w:t>
      </w:r>
      <w:r w:rsidR="00B025DC" w:rsidRPr="00D44D56">
        <w:rPr>
          <w:u w:val="single"/>
        </w:rPr>
        <w:br/>
      </w:r>
    </w:p>
    <w:p w14:paraId="44ABC8C7" w14:textId="6A01C100" w:rsidR="00263882" w:rsidRPr="00263882" w:rsidRDefault="00263882" w:rsidP="00D44D56">
      <w:r w:rsidRPr="00263882">
        <w:t>Effective May 25, 2021, NIH requires the following:</w:t>
      </w:r>
      <w:r w:rsidR="00B025DC">
        <w:br/>
      </w:r>
      <w:r w:rsidRPr="00263882">
        <w:t xml:space="preserve">Immediate notification of undisclosed Other Support. When a recipient organization discovers that </w:t>
      </w:r>
      <w:proofErr w:type="gramStart"/>
      <w:r w:rsidRPr="00263882">
        <w:t>a PI or other Senior/Key personnel</w:t>
      </w:r>
      <w:proofErr w:type="gramEnd"/>
      <w:r w:rsidRPr="00263882">
        <w:t xml:space="preserve"> on an active NIH grant failed to disclose Other Support information outside of Just-in-Time or the RPPR, as applicable, the recipient must submit updated Other Support to the Grants Management Specialist named in the Notice of Award as soon as it becomes known.</w:t>
      </w:r>
    </w:p>
    <w:p w14:paraId="4ED72472" w14:textId="77777777" w:rsidR="00263882" w:rsidRPr="00217D6E" w:rsidRDefault="00263882" w:rsidP="00263882"/>
    <w:p w14:paraId="207ADA04" w14:textId="77777777" w:rsidR="00F359C4" w:rsidRDefault="00F359C4"/>
    <w:sectPr w:rsidR="00F359C4" w:rsidSect="00B025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60F"/>
    <w:multiLevelType w:val="multilevel"/>
    <w:tmpl w:val="312E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96A3F"/>
    <w:multiLevelType w:val="multilevel"/>
    <w:tmpl w:val="7BCA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4F59"/>
    <w:multiLevelType w:val="hybridMultilevel"/>
    <w:tmpl w:val="C2C8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82"/>
    <w:rsid w:val="00021C56"/>
    <w:rsid w:val="00041D7F"/>
    <w:rsid w:val="00065D28"/>
    <w:rsid w:val="00097123"/>
    <w:rsid w:val="000A15B8"/>
    <w:rsid w:val="000D3100"/>
    <w:rsid w:val="000E33D9"/>
    <w:rsid w:val="000F7E1D"/>
    <w:rsid w:val="00107F0F"/>
    <w:rsid w:val="001142CC"/>
    <w:rsid w:val="00156569"/>
    <w:rsid w:val="00174DA6"/>
    <w:rsid w:val="00190E32"/>
    <w:rsid w:val="00201953"/>
    <w:rsid w:val="00201A71"/>
    <w:rsid w:val="00201F47"/>
    <w:rsid w:val="00225280"/>
    <w:rsid w:val="00231F63"/>
    <w:rsid w:val="002407A6"/>
    <w:rsid w:val="002458BA"/>
    <w:rsid w:val="00263882"/>
    <w:rsid w:val="002B0994"/>
    <w:rsid w:val="002B54AA"/>
    <w:rsid w:val="002E741D"/>
    <w:rsid w:val="00307F89"/>
    <w:rsid w:val="003171AF"/>
    <w:rsid w:val="00372D59"/>
    <w:rsid w:val="00393511"/>
    <w:rsid w:val="003A6A7F"/>
    <w:rsid w:val="003B02FE"/>
    <w:rsid w:val="003B4610"/>
    <w:rsid w:val="003D0A68"/>
    <w:rsid w:val="003D1612"/>
    <w:rsid w:val="003E177F"/>
    <w:rsid w:val="003E7F35"/>
    <w:rsid w:val="004257DF"/>
    <w:rsid w:val="00437B32"/>
    <w:rsid w:val="00444E0B"/>
    <w:rsid w:val="004509A3"/>
    <w:rsid w:val="00457401"/>
    <w:rsid w:val="0047580D"/>
    <w:rsid w:val="004A2E1E"/>
    <w:rsid w:val="004C62B0"/>
    <w:rsid w:val="004D6AB2"/>
    <w:rsid w:val="004E5285"/>
    <w:rsid w:val="00514060"/>
    <w:rsid w:val="00567B9F"/>
    <w:rsid w:val="00571CD4"/>
    <w:rsid w:val="00587D5A"/>
    <w:rsid w:val="005B2BD4"/>
    <w:rsid w:val="005D3B13"/>
    <w:rsid w:val="0060701D"/>
    <w:rsid w:val="00625862"/>
    <w:rsid w:val="00643E34"/>
    <w:rsid w:val="00647153"/>
    <w:rsid w:val="00677EC1"/>
    <w:rsid w:val="00685A21"/>
    <w:rsid w:val="0068633D"/>
    <w:rsid w:val="006B268E"/>
    <w:rsid w:val="006B6346"/>
    <w:rsid w:val="006D0490"/>
    <w:rsid w:val="006D3AD0"/>
    <w:rsid w:val="006E7778"/>
    <w:rsid w:val="006F5223"/>
    <w:rsid w:val="00704FB4"/>
    <w:rsid w:val="007101B6"/>
    <w:rsid w:val="0071088C"/>
    <w:rsid w:val="007677DF"/>
    <w:rsid w:val="00786CAC"/>
    <w:rsid w:val="00797CE3"/>
    <w:rsid w:val="007C29FB"/>
    <w:rsid w:val="007E31A9"/>
    <w:rsid w:val="00812BB9"/>
    <w:rsid w:val="008179FA"/>
    <w:rsid w:val="00845B4B"/>
    <w:rsid w:val="008A0EF9"/>
    <w:rsid w:val="008D0E77"/>
    <w:rsid w:val="008E1488"/>
    <w:rsid w:val="00902731"/>
    <w:rsid w:val="00932A4F"/>
    <w:rsid w:val="00943E0F"/>
    <w:rsid w:val="0094719B"/>
    <w:rsid w:val="00961CE0"/>
    <w:rsid w:val="00980CDF"/>
    <w:rsid w:val="009827CE"/>
    <w:rsid w:val="00A1551F"/>
    <w:rsid w:val="00A163FF"/>
    <w:rsid w:val="00A83FC4"/>
    <w:rsid w:val="00AA607B"/>
    <w:rsid w:val="00AE55E8"/>
    <w:rsid w:val="00B025DC"/>
    <w:rsid w:val="00B0382C"/>
    <w:rsid w:val="00B05AA9"/>
    <w:rsid w:val="00B23C53"/>
    <w:rsid w:val="00B52240"/>
    <w:rsid w:val="00B93CE3"/>
    <w:rsid w:val="00BB497D"/>
    <w:rsid w:val="00BB5507"/>
    <w:rsid w:val="00BE1CD0"/>
    <w:rsid w:val="00BF2650"/>
    <w:rsid w:val="00C752E0"/>
    <w:rsid w:val="00C853EF"/>
    <w:rsid w:val="00C96FC6"/>
    <w:rsid w:val="00CA054A"/>
    <w:rsid w:val="00CB23B0"/>
    <w:rsid w:val="00CC18B4"/>
    <w:rsid w:val="00CE760D"/>
    <w:rsid w:val="00D0271F"/>
    <w:rsid w:val="00D26F51"/>
    <w:rsid w:val="00D44D56"/>
    <w:rsid w:val="00D60243"/>
    <w:rsid w:val="00D72AA6"/>
    <w:rsid w:val="00DA5572"/>
    <w:rsid w:val="00DE0215"/>
    <w:rsid w:val="00E27A67"/>
    <w:rsid w:val="00E37D87"/>
    <w:rsid w:val="00E42220"/>
    <w:rsid w:val="00E4654D"/>
    <w:rsid w:val="00E46F9A"/>
    <w:rsid w:val="00E705B7"/>
    <w:rsid w:val="00E868EC"/>
    <w:rsid w:val="00E86B7D"/>
    <w:rsid w:val="00EA0182"/>
    <w:rsid w:val="00EF25F7"/>
    <w:rsid w:val="00F359C4"/>
    <w:rsid w:val="00F3664A"/>
    <w:rsid w:val="00F53631"/>
    <w:rsid w:val="00F56A9D"/>
    <w:rsid w:val="00F669AD"/>
    <w:rsid w:val="00F758BD"/>
    <w:rsid w:val="00FB7560"/>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EE811"/>
  <w15:chartTrackingRefBased/>
  <w15:docId w15:val="{A1B9303B-1C8D-B749-AEC6-B205ED89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882"/>
    <w:pPr>
      <w:ind w:left="720"/>
      <w:contextualSpacing/>
    </w:pPr>
  </w:style>
  <w:style w:type="character" w:styleId="Hyperlink">
    <w:name w:val="Hyperlink"/>
    <w:basedOn w:val="DefaultParagraphFont"/>
    <w:uiPriority w:val="99"/>
    <w:unhideWhenUsed/>
    <w:rsid w:val="00263882"/>
    <w:rPr>
      <w:color w:val="0563C1" w:themeColor="hyperlink"/>
      <w:u w:val="single"/>
    </w:rPr>
  </w:style>
  <w:style w:type="character" w:styleId="UnresolvedMention">
    <w:name w:val="Unresolved Mention"/>
    <w:basedOn w:val="DefaultParagraphFont"/>
    <w:uiPriority w:val="99"/>
    <w:semiHidden/>
    <w:unhideWhenUsed/>
    <w:rsid w:val="0026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5296">
      <w:bodyDiv w:val="1"/>
      <w:marLeft w:val="0"/>
      <w:marRight w:val="0"/>
      <w:marTop w:val="0"/>
      <w:marBottom w:val="0"/>
      <w:divBdr>
        <w:top w:val="none" w:sz="0" w:space="0" w:color="auto"/>
        <w:left w:val="none" w:sz="0" w:space="0" w:color="auto"/>
        <w:bottom w:val="none" w:sz="0" w:space="0" w:color="auto"/>
        <w:right w:val="none" w:sz="0" w:space="0" w:color="auto"/>
      </w:divBdr>
    </w:div>
    <w:div w:id="21408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nts.nih.gov/grants/policy/nihgps/HTML5/section_1/1.2_definition_of_term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Carsello</dc:creator>
  <cp:keywords/>
  <dc:description/>
  <cp:lastModifiedBy>Sheri Carsello</cp:lastModifiedBy>
  <cp:revision>2</cp:revision>
  <dcterms:created xsi:type="dcterms:W3CDTF">2021-06-30T19:03:00Z</dcterms:created>
  <dcterms:modified xsi:type="dcterms:W3CDTF">2021-06-30T19:03:00Z</dcterms:modified>
</cp:coreProperties>
</file>